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after="360"/>
        <w:jc w:val="center"/>
      </w:pPr>
      <w:r>
        <w:rPr>
          <w:rFonts w:ascii="Arial" w:hAnsi="Arial"/>
          <w:b/>
          <w:color w:val="0891B2"/>
          <w:sz w:val="20"/>
        </w:rPr>
        <w:t>GUÍA DE PRODUCTO</w:t>
      </w:r>
    </w:p>
    <w:p>
      <w:pPr>
        <w:pStyle w:val="Title"/>
        <w:jc w:val="center"/>
      </w:pPr>
      <w:r>
        <w:t>MOVIVT en la web pública</w:t>
      </w:r>
    </w:p>
    <w:p>
      <w:pPr>
        <w:pStyle w:val="Subtitle"/>
        <w:spacing w:after="560"/>
        <w:jc w:val="center"/>
      </w:pPr>
      <w:r>
        <w:t>Qué ofrece la plataforma, cómo orientarse y cómo acceder al panel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3888"/>
            <w:tcMar>
              <w:top w:w="90" w:type="dxa"/>
              <w:start w:w="120" w:type="dxa"/>
              <w:bottom w:w="90" w:type="dxa"/>
              <w:end w:w="120" w:type="dxa"/>
            </w:tcMar>
            <w:shd w:fill="F3F6F8"/>
          </w:tcPr>
          <w:p>
            <w:pPr>
              <w:spacing w:after="0"/>
            </w:pPr>
            <w:r>
              <w:rPr>
                <w:b/>
                <w:sz w:val="18"/>
              </w:rPr>
              <w:t>Versión documental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b w:val="0"/>
                <w:sz w:val="18"/>
              </w:rPr>
              <w:t>0.1 · Borrador para capturas</w:t>
            </w:r>
          </w:p>
        </w:tc>
      </w:tr>
      <w:tr>
        <w:tc>
          <w:tcPr>
            <w:tcW w:type="dxa" w:w="3888"/>
            <w:tcMar>
              <w:top w:w="90" w:type="dxa"/>
              <w:start w:w="120" w:type="dxa"/>
              <w:bottom w:w="90" w:type="dxa"/>
              <w:end w:w="120" w:type="dxa"/>
            </w:tcMar>
            <w:shd w:fill="F3F6F8"/>
          </w:tcPr>
          <w:p>
            <w:pPr>
              <w:spacing w:after="0"/>
            </w:pPr>
            <w:r>
              <w:rPr>
                <w:b/>
                <w:sz w:val="18"/>
              </w:rPr>
              <w:t>Público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b w:val="0"/>
                <w:sz w:val="18"/>
              </w:rPr>
              <w:t>Visitantes, clientes potenciales y nuevos usuarios</w:t>
            </w:r>
          </w:p>
        </w:tc>
      </w:tr>
    </w:tbl>
    <w:p/>
    <w:p>
      <w:pPr>
        <w:jc w:val="center"/>
      </w:pPr>
      <w:r>
        <w:rPr>
          <w:i/>
          <w:color w:val="657786"/>
          <w:sz w:val="17"/>
        </w:rPr>
        <w:t>Documento elaborado a partir del código, migraciones, pruebas y documentación funcional del repositorio. Las capacidades planificadas se identifican expresamente como tales.</w:t>
      </w:r>
    </w:p>
    <w:p>
      <w:r>
        <w:br w:type="page"/>
      </w:r>
    </w:p>
    <w:p>
      <w:pPr>
        <w:pStyle w:val="Heading1"/>
      </w:pPr>
      <w:r>
        <w:t>Índice de contenidos</w:t>
      </w:r>
    </w:p>
    <w:p>
      <w:pPr>
        <w:pStyle w:val="ListBullet"/>
        <w:spacing w:after="60"/>
        <w:ind w:left="360" w:hanging="230"/>
      </w:pPr>
      <w:r>
        <w:t>Propósito y alcance</w:t>
      </w:r>
    </w:p>
    <w:p>
      <w:pPr>
        <w:pStyle w:val="ListBullet"/>
        <w:spacing w:after="60"/>
        <w:ind w:left="360" w:hanging="230"/>
      </w:pPr>
      <w:r>
        <w:t>Recorrido por la portada</w:t>
      </w:r>
    </w:p>
    <w:p>
      <w:pPr>
        <w:pStyle w:val="ListBullet"/>
        <w:spacing w:after="60"/>
        <w:ind w:left="360" w:hanging="230"/>
      </w:pPr>
      <w:r>
        <w:t>Acceso y recuperación de contraseña</w:t>
      </w:r>
    </w:p>
    <w:p>
      <w:pPr>
        <w:pStyle w:val="ListBullet"/>
        <w:spacing w:after="60"/>
        <w:ind w:left="360" w:hanging="230"/>
      </w:pPr>
      <w:r>
        <w:t>Qué encontrará el usuario dentro</w:t>
      </w:r>
    </w:p>
    <w:p>
      <w:pPr>
        <w:pStyle w:val="ListBullet"/>
        <w:spacing w:after="60"/>
        <w:ind w:left="360" w:hanging="230"/>
      </w:pPr>
      <w:r>
        <w:t>Preguntas frecuentes</w:t>
      </w:r>
    </w:p>
    <w:p>
      <w:pPr>
        <w:pStyle w:val="ListBullet"/>
        <w:spacing w:after="60"/>
        <w:ind w:left="360" w:hanging="230"/>
      </w:pPr>
      <w:r>
        <w:t>Plan de capturas de la web pública</w:t>
      </w:r>
    </w:p>
    <w:p>
      <w:pPr>
        <w:pStyle w:val="Heading1"/>
      </w:pPr>
      <w:r>
        <w:t>1. Propósito y alcance</w:t>
      </w:r>
    </w:p>
    <w:p>
      <w:r>
        <w:t>MOVIVT es un núcleo operativo para organizaciones de movilidad, como taxi, VTC y otros modelos. La web pública presenta la propuesta de valor y conduce al acceso del panel. Esta guía explica únicamente lo que un visitante puede ver o iniciar sin entrar en la zona autenticada.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EAF6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Mensaje principal: </w:t>
            </w:r>
            <w:r>
              <w:t>La plataforma centraliza organizaciones, flotas, recursos, clientes, reservas, servicios y trazabilidad operativa.</w:t>
            </w:r>
          </w:p>
        </w:tc>
      </w:tr>
    </w:tbl>
    <w:p>
      <w:pPr>
        <w:spacing w:after="0"/>
      </w:pPr>
    </w:p>
    <w:p>
      <w:pPr>
        <w:pStyle w:val="Heading1"/>
      </w:pPr>
      <w:r>
        <w:t>2. Portada pública</w:t>
      </w:r>
    </w:p>
    <w:p>
      <w:r>
        <w:t>La ruta principal muestra una cabecera con acceso a la documentación y al panel, un bloque principal de presentación y un resumen visual del producto. La comunicación destaca control, trazabilidad y foco operativo.</w:t>
      </w:r>
    </w:p>
    <w:p>
      <w:pPr>
        <w:pStyle w:val="Heading2"/>
      </w:pPr>
      <w:r>
        <w:t>2.1 Elementos de la pantalla</w:t>
      </w:r>
    </w:p>
    <w:p>
      <w:pPr>
        <w:pStyle w:val="ListBullet"/>
        <w:spacing w:after="60"/>
        <w:ind w:left="360" w:hanging="230"/>
      </w:pPr>
      <w:r>
        <w:t>Botón Documentación: abre el contenido documental servido por la aplicación.</w:t>
      </w:r>
    </w:p>
    <w:p>
      <w:pPr>
        <w:pStyle w:val="ListBullet"/>
        <w:spacing w:after="60"/>
        <w:ind w:left="360" w:hanging="230"/>
      </w:pPr>
      <w:r>
        <w:t>Botón Entrar al panel / Acceder al aplicativo: dirige al formulario de autenticación.</w:t>
      </w:r>
    </w:p>
    <w:p>
      <w:pPr>
        <w:pStyle w:val="ListBullet"/>
        <w:spacing w:after="60"/>
        <w:ind w:left="360" w:hanging="230"/>
      </w:pPr>
      <w:r>
        <w:t>Bloque de capacidades: resume organizaciones y flotas, recursos operativos, clientes y servicios, y control y trazabilidad.</w:t>
      </w:r>
    </w:p>
    <w:p>
      <w:pPr>
        <w:pStyle w:val="ListBullet"/>
        <w:spacing w:after="60"/>
        <w:ind w:left="360" w:hanging="230"/>
      </w:pPr>
      <w:r>
        <w:t>Representación del panel operativo: anticipa el tipo de información que se gestiona tras iniciar sesión.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WEB-PUB-01 · Portada completa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Captura de escritorio a 1440 px, desde cabecera hasta el final de la página, sin datos personales.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WEB-PUB-02 · Hero y llamadas a la acción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Recorte nítido con titular, texto y botones Documentación y Acceder al aplicativo.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WEB-PUB-03 · Capacidades y resumen visual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Recorte de las tarjetas de capacidades y del mockup del panel.</w:t>
            </w:r>
          </w:p>
        </w:tc>
      </w:tr>
    </w:tbl>
    <w:p>
      <w:pPr>
        <w:pStyle w:val="Heading1"/>
      </w:pPr>
      <w:r>
        <w:t>3. Acceso al panel</w:t>
      </w:r>
    </w:p>
    <w:p>
      <w:r>
        <w:t>El acceso requiere correo electrónico y contraseña. La opción Recordarme conserva la sesión según la configuración del navegador. Si las credenciales son incorrectas, la aplicación devuelve un error de autenticación sin revelar qué dato concreto falló.</w:t>
      </w:r>
    </w:p>
    <w:p>
      <w:pPr>
        <w:pStyle w:val="ListNumber"/>
        <w:spacing w:after="60"/>
        <w:ind w:left="360" w:hanging="230"/>
      </w:pPr>
      <w:r>
        <w:t>Introducir el correo registrado.</w:t>
      </w:r>
    </w:p>
    <w:p>
      <w:pPr>
        <w:pStyle w:val="ListNumber"/>
        <w:spacing w:after="60"/>
        <w:ind w:left="360" w:hanging="230"/>
      </w:pPr>
      <w:r>
        <w:t>Introducir la contraseña.</w:t>
      </w:r>
    </w:p>
    <w:p>
      <w:pPr>
        <w:pStyle w:val="ListNumber"/>
        <w:spacing w:after="60"/>
        <w:ind w:left="360" w:hanging="230"/>
      </w:pPr>
      <w:r>
        <w:t>Marcar Recordarme solo en dispositivos de confianza.</w:t>
      </w:r>
    </w:p>
    <w:p>
      <w:pPr>
        <w:pStyle w:val="ListNumber"/>
        <w:spacing w:after="60"/>
        <w:ind w:left="360" w:hanging="230"/>
      </w:pPr>
      <w:r>
        <w:t>Pulsar Entrar.</w:t>
      </w:r>
    </w:p>
    <w:p>
      <w:pPr>
        <w:pStyle w:val="ListNumber"/>
        <w:spacing w:after="60"/>
        <w:ind w:left="360" w:hanging="230"/>
      </w:pPr>
      <w:r>
        <w:t>Tras autenticarse, el sistema dirige al Dashboard.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WEB-PUB-04 · Inicio de sesión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Pantalla completa con campos vacíos; preparar otra variante con un error de credenciales controlado.</w:t>
            </w:r>
          </w:p>
        </w:tc>
      </w:tr>
    </w:tbl>
    <w:p>
      <w:pPr>
        <w:pStyle w:val="Heading1"/>
      </w:pPr>
      <w:r>
        <w:t>4. Recuperación de acceso</w:t>
      </w:r>
    </w:p>
    <w:p>
      <w:r>
        <w:t>Desde el enlace ¿Has olvidado tu contraseña? se solicita el correo. Si el flujo de correo está configurado, el usuario recibe un enlace con token para establecer una nueva contraseña y confirmarla.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WEB-PUB-05 · Solicitud de recuperación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Formulario con correo ficticio y mensaje de envío satisfactorio.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648"/>
            <w:shd w:fill="F3F6F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60"/>
              <w:jc w:val="center"/>
            </w:pPr>
            <w:r>
              <w:rPr>
                <w:b/>
                <w:color w:val="0891B2"/>
              </w:rPr>
              <w:t>WEB-PUB-06 · Nueva contraseña</w:t>
            </w:r>
          </w:p>
          <w:p>
            <w:pPr>
              <w:spacing w:after="0"/>
              <w:jc w:val="center"/>
            </w:pPr>
            <w:r>
              <w:rPr>
                <w:color w:val="657786"/>
                <w:sz w:val="16"/>
              </w:rPr>
              <w:t>Formulario de restablecimiento con correo, contraseña y confirmación; no mostrar valores reales.</w:t>
            </w:r>
          </w:p>
        </w:tc>
      </w:tr>
    </w:tbl>
    <w:p>
      <w:pPr>
        <w:pStyle w:val="Heading1"/>
      </w:pPr>
      <w:r>
        <w:t>5. Qué encontrará el usuario dentro</w:t>
      </w:r>
    </w:p>
    <w:p>
      <w:r>
        <w:t>Una vez autenticado, el usuario accede a un panel con métricas y a las áreas de Reservas y Configuración. Desde Configuración se llega a organizaciones, flotas, propietarios, conductores, vehículos, jornadas, clientes, abonados, servicios y usuarios del sistema. El detalle de estas funciones pertenece al manual interno.</w:t>
      </w:r>
    </w:p>
    <w:p>
      <w:pPr>
        <w:pStyle w:val="Heading2"/>
      </w:pPr>
      <w:r>
        <w:t>5.1 Recorrido visual del aplicativo</w:t>
      </w:r>
    </w:p>
    <w:p>
      <w:r>
        <w:t>Las siguientes capturas muestran la interfaz real del panel en modo oscuro y sirven como anticipo de la experiencia operativa descrita con detalle en el manual interno.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993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ne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9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WEB-APP-01. Panel operativo. </w:t>
      </w:r>
      <w:r>
        <w:rPr>
          <w:i/>
          <w:color w:val="657786"/>
          <w:sz w:val="16"/>
        </w:rPr>
        <w:t>Resumen de la organización, recursos y actividad desde el Dashboard.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7002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ervas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70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WEB-APP-02. Registro de reservas. </w:t>
      </w:r>
      <w:r>
        <w:rPr>
          <w:i/>
          <w:color w:val="657786"/>
          <w:sz w:val="16"/>
        </w:rPr>
        <w:t>Formulario de solicitud, mapa y listas de seguimiento en una única pantalla.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8028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tas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028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WEB-APP-03. Configuración de flota. </w:t>
      </w:r>
      <w:r>
        <w:rPr>
          <w:i/>
          <w:color w:val="657786"/>
          <w:sz w:val="16"/>
        </w:rPr>
        <w:t>Parámetros que controlan activación, vencimiento y radio de asignación.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81058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tas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10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WEB-APP-04. Zonas de flota. </w:t>
      </w:r>
      <w:r>
        <w:rPr>
          <w:i/>
          <w:color w:val="657786"/>
          <w:sz w:val="16"/>
        </w:rPr>
        <w:t>Listado de zonas de trabajo y zonas operativas configuradas.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966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ona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6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WEB-APP-05. Edición de zona. </w:t>
      </w:r>
      <w:r>
        <w:rPr>
          <w:i/>
          <w:color w:val="657786"/>
          <w:sz w:val="16"/>
        </w:rPr>
        <w:t>Dibujo del polígono sobre Google Maps y sincronización con JSON.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88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pietario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88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WEB-APP-06. Ficha de propietario. </w:t>
      </w:r>
      <w:r>
        <w:rPr>
          <w:i/>
          <w:color w:val="657786"/>
          <w:sz w:val="16"/>
        </w:rPr>
        <w:t>Datos del propietario y entrada a la gestión contextual de recursos.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9946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pietario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94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17324D"/>
          <w:sz w:val="16"/>
        </w:rPr>
        <w:t xml:space="preserve">Figura WEB-APP-07. Recursos del propietario. </w:t>
      </w:r>
      <w:r>
        <w:rPr>
          <w:i/>
          <w:color w:val="657786"/>
          <w:sz w:val="16"/>
        </w:rPr>
        <w:t>Conductores y vehículos asociados, con acciones de alta, edición y eliminación.</w:t>
      </w:r>
    </w:p>
    <w:p>
      <w:pPr>
        <w:pStyle w:val="Heading2"/>
      </w:pPr>
      <w:r>
        <w:t>5.2 La herramienta móvil del conductor</w:t>
      </w:r>
    </w:p>
    <w:p>
      <w:r>
        <w:t>La app Android acompaña al conductor desde la identificación y elección del vehículo hasta la recepción, ejecución y cobro del servicio.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2286000" cy="5080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150404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0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b/>
          <w:color w:val="17324D"/>
          <w:sz w:val="16"/>
        </w:rPr>
        <w:t xml:space="preserve">Figura WEB-MOV-01. Acceso del conductor. </w:t>
      </w:r>
      <w:r>
        <w:rPr>
          <w:i/>
          <w:color w:val="657786"/>
          <w:sz w:val="16"/>
        </w:rPr>
        <w:t>Inicio de sesión mediante usuario de cinco dígitos y contraseña personal.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2286000" cy="5080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150404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0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b/>
          <w:color w:val="17324D"/>
          <w:sz w:val="16"/>
        </w:rPr>
        <w:t xml:space="preserve">Figura WEB-MOV-02. Panel operativo móvil. </w:t>
      </w:r>
      <w:r>
        <w:rPr>
          <w:i/>
          <w:color w:val="657786"/>
          <w:sz w:val="16"/>
        </w:rPr>
        <w:t>Conductor, vehículo, zona y estado de transmisión GPS reunidos en una vista.</w:t>
      </w:r>
    </w:p>
    <w:p>
      <w:pPr>
        <w:spacing w:before="100" w:after="60"/>
        <w:jc w:val="center"/>
      </w:pPr>
      <w:r>
        <w:drawing>
          <wp:inline xmlns:a="http://schemas.openxmlformats.org/drawingml/2006/main" xmlns:pic="http://schemas.openxmlformats.org/drawingml/2006/picture">
            <wp:extent cx="2286000" cy="5080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1504050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0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b/>
          <w:color w:val="17324D"/>
          <w:sz w:val="16"/>
        </w:rPr>
        <w:t xml:space="preserve">Figura WEB-MOV-03. Oferta de servicio. </w:t>
      </w:r>
      <w:r>
        <w:rPr>
          <w:i/>
          <w:color w:val="657786"/>
          <w:sz w:val="16"/>
        </w:rPr>
        <w:t>Alerta prioritaria con cuenta atrás y acciones inequívocas para aceptar o rechazar.</w:t>
      </w:r>
    </w:p>
    <w:p>
      <w:pPr>
        <w:pStyle w:val="Heading1"/>
      </w:pPr>
      <w:r>
        <w:t>6. Preguntas frecuentes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/>
          <w:cantSplit/>
        </w:trPr>
        <w:tc>
          <w:tcPr>
            <w:tcW w:type="dxa" w:w="3024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type="dxa" w:w="6336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Respuesta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¿Puedo usar el panel sin cuenta?</w:t>
            </w:r>
          </w:p>
        </w:tc>
        <w:tc>
          <w:tcPr>
            <w:tcW w:type="dxa" w:w="63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No. Las operaciones están protegidas por autenticación.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¿Hay modo oscuro?</w:t>
            </w:r>
          </w:p>
        </w:tc>
        <w:tc>
          <w:tcPr>
            <w:tcW w:type="dxa" w:w="63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Sí, dentro del panel, con preferencia conservada en el navegador.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¿Funciona en móvil?</w:t>
            </w:r>
          </w:p>
        </w:tc>
        <w:tc>
          <w:tcPr>
            <w:tcW w:type="dxa" w:w="63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La web es responsive. La aplicación móvil del conductor es una superficie distinta y se documentará con su proyecto.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¿La documentación pública equivale al manual interno?</w:t>
            </w:r>
          </w:p>
        </w:tc>
        <w:tc>
          <w:tcPr>
            <w:tcW w:type="dxa" w:w="63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No. La primera presenta y orienta; el manual interno explica procesos, datos, controles y limitaciones.</w:t>
            </w:r>
          </w:p>
        </w:tc>
      </w:tr>
    </w:tbl>
    <w:p>
      <w:pPr>
        <w:spacing w:after="0"/>
      </w:pPr>
    </w:p>
    <w:p>
      <w:pPr>
        <w:pStyle w:val="Heading1"/>
      </w:pPr>
      <w:r>
        <w:t>7. Plan de capturas de la web pública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tblHeader/>
          <w:cantSplit/>
        </w:trPr>
        <w:tc>
          <w:tcPr>
            <w:tcW w:type="dxa" w:w="108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Código</w:t>
            </w:r>
          </w:p>
        </w:tc>
        <w:tc>
          <w:tcPr>
            <w:tcW w:type="dxa" w:w="18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Pantalla / estado</w:t>
            </w:r>
          </w:p>
        </w:tc>
        <w:tc>
          <w:tcPr>
            <w:tcW w:type="dxa" w:w="4032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Captura necesaria</w:t>
            </w:r>
          </w:p>
        </w:tc>
        <w:tc>
          <w:tcPr>
            <w:tcW w:type="dxa" w:w="2448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Tratamiento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WEB-PUB-01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Portada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Página completa, escritorio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Sin datos sensibles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WEB-PUB-02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Hero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Titular y CTA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Resolución 2x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WEB-PUB-03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Capacidades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Tarjetas y resumen visual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Mantener colores reales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WEB-PUB-04A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Login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Estado inicial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Campos vacíos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WEB-PUB-04B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Login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Error controlado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Correo ficticio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WEB-PUB-05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Recuperar acceso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Solicitud y confirmación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Correo ficticio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WEB-PUB-06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Restablecer contraseña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Formulario completo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5"/>
              </w:rPr>
              <w:t>Contraseñas ocultas</w:t>
            </w:r>
          </w:p>
        </w:tc>
      </w:tr>
      <w:tr>
        <w:trPr>
          <w:cantSplit/>
        </w:trPr>
        <w:tc>
          <w:tcPr>
            <w:tcW w:type="dxa" w:w="1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WEB-PUB-07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Responsive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Portada y login a 390 px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8FAFB"/>
          </w:tcPr>
          <w:p>
            <w:pPr>
              <w:spacing w:after="0" w:line="252" w:lineRule="auto"/>
            </w:pPr>
            <w:r>
              <w:rPr>
                <w:sz w:val="15"/>
              </w:rPr>
              <w:t>Dos capturas móviles</w:t>
            </w:r>
          </w:p>
        </w:tc>
      </w:tr>
    </w:tbl>
    <w:p>
      <w:pPr>
        <w:spacing w:after="0"/>
      </w:pPr>
    </w:p>
    <w:p>
      <w:pPr>
        <w:pStyle w:val="Heading1"/>
      </w:pPr>
      <w:r>
        <w:t>8. Reglas para producir las imágenes</w:t>
      </w:r>
    </w:p>
    <w:p>
      <w:pPr>
        <w:pStyle w:val="ListBullet"/>
        <w:spacing w:after="60"/>
        <w:ind w:left="360" w:hanging="230"/>
      </w:pPr>
      <w:r>
        <w:t>Usar datos ficticios coherentes y nunca credenciales reales.</w:t>
      </w:r>
    </w:p>
    <w:p>
      <w:pPr>
        <w:pStyle w:val="ListBullet"/>
        <w:spacing w:after="60"/>
        <w:ind w:left="360" w:hanging="230"/>
      </w:pPr>
      <w:r>
        <w:t>Capturar en modo claro salvo que se solicite una comparativa.</w:t>
      </w:r>
    </w:p>
    <w:p>
      <w:pPr>
        <w:pStyle w:val="ListBullet"/>
        <w:spacing w:after="60"/>
        <w:ind w:left="360" w:hanging="230"/>
      </w:pPr>
      <w:r>
        <w:t>Mantener el mismo navegador, escala al 100 % y resolución en toda la serie.</w:t>
      </w:r>
    </w:p>
    <w:p>
      <w:pPr>
        <w:pStyle w:val="ListBullet"/>
        <w:spacing w:after="60"/>
        <w:ind w:left="360" w:hanging="230"/>
      </w:pPr>
      <w:r>
        <w:t>Exportar PNG, sin compresión agresiva y con nombres iguales a los códigos del inventario.</w:t>
      </w:r>
    </w:p>
    <w:p>
      <w:pPr>
        <w:pStyle w:val="ListBullet"/>
        <w:spacing w:after="60"/>
        <w:ind w:left="360" w:hanging="230"/>
      </w:pPr>
      <w:r>
        <w:t>Ocultar correos, teléfonos, matrículas, licencias, direcciones y referencias fiscales reales.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57786"/>
        <w:sz w:val="16"/>
      </w:rPr>
      <w:t xml:space="preserve">Página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57786"/>
        <w:sz w:val="16"/>
      </w:rPr>
      <w:t>MOVIVT  |  Guía web pública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6374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732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891B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" w:hAnsi="Arial"/>
      <w:b w:val="0"/>
      <w:i/>
      <w:iCs/>
      <w:color w:val="17324D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jpg"/><Relationship Id="rId19" Type="http://schemas.openxmlformats.org/officeDocument/2006/relationships/image" Target="media/image9.jpg"/><Relationship Id="rId20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